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38"/>
        <w:tblW w:w="0" w:type="auto"/>
        <w:tblLook w:val="04A0" w:firstRow="1" w:lastRow="0" w:firstColumn="1" w:lastColumn="0" w:noHBand="0" w:noVBand="1"/>
      </w:tblPr>
      <w:tblGrid>
        <w:gridCol w:w="4069"/>
        <w:gridCol w:w="2774"/>
        <w:gridCol w:w="3085"/>
      </w:tblGrid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/>
        </w:tc>
        <w:tc>
          <w:tcPr>
            <w:tcW w:w="2774" w:type="dxa"/>
          </w:tcPr>
          <w:p w:rsidR="002002A9" w:rsidRDefault="002002A9" w:rsidP="002002A9">
            <w:pPr>
              <w:jc w:val="center"/>
              <w:rPr>
                <w:b/>
              </w:rPr>
            </w:pPr>
            <w:r>
              <w:rPr>
                <w:b/>
              </w:rPr>
              <w:t>KS2 2024</w:t>
            </w:r>
          </w:p>
        </w:tc>
        <w:tc>
          <w:tcPr>
            <w:tcW w:w="3085" w:type="dxa"/>
          </w:tcPr>
          <w:p w:rsidR="002002A9" w:rsidRPr="0067498D" w:rsidRDefault="002002A9" w:rsidP="002002A9">
            <w:pPr>
              <w:jc w:val="center"/>
              <w:rPr>
                <w:b/>
              </w:rPr>
            </w:pPr>
            <w:r>
              <w:rPr>
                <w:b/>
              </w:rPr>
              <w:t>National data 2024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Reading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expected standard reading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86%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73%</w:t>
            </w: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higher standard reading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33%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28%*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Writing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expected standard Writing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77%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71%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higher standard Writing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13%</w:t>
            </w:r>
            <w:r>
              <w:t>*</w:t>
            </w:r>
          </w:p>
        </w:tc>
      </w:tr>
      <w:tr w:rsidR="002002A9" w:rsidTr="002002A9">
        <w:trPr>
          <w:trHeight w:val="685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Grammar, punctuation and spelling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expected standard GPS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86%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72%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higher standard GPS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26%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Mathematics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685"/>
        </w:trPr>
        <w:tc>
          <w:tcPr>
            <w:tcW w:w="4069" w:type="dxa"/>
          </w:tcPr>
          <w:p w:rsidR="002002A9" w:rsidRDefault="002002A9" w:rsidP="002002A9">
            <w:r>
              <w:t>% expected standard mathematics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79%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73%</w:t>
            </w: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higher standard mathematics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26%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22%</w:t>
            </w:r>
            <w:r>
              <w:t>*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Combined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Reading, writing and mathematics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74.5%</w:t>
            </w:r>
          </w:p>
        </w:tc>
        <w:tc>
          <w:tcPr>
            <w:tcW w:w="3085" w:type="dxa"/>
          </w:tcPr>
          <w:p w:rsidR="002002A9" w:rsidRDefault="002002A9" w:rsidP="002002A9">
            <w:pPr>
              <w:jc w:val="center"/>
            </w:pPr>
            <w:r>
              <w:t>59%</w:t>
            </w:r>
          </w:p>
        </w:tc>
      </w:tr>
    </w:tbl>
    <w:p w:rsidR="002002A9" w:rsidRPr="002002A9" w:rsidRDefault="002002A9" w:rsidP="002002A9">
      <w:pPr>
        <w:jc w:val="center"/>
        <w:rPr>
          <w:b/>
          <w:sz w:val="32"/>
        </w:rPr>
      </w:pPr>
      <w:r w:rsidRPr="002002A9">
        <w:rPr>
          <w:b/>
          <w:sz w:val="32"/>
        </w:rPr>
        <w:t>2023-24 headline performance data</w:t>
      </w:r>
    </w:p>
    <w:p w:rsidR="002002A9" w:rsidRDefault="002002A9" w:rsidP="002002A9">
      <w:bookmarkStart w:id="0" w:name="_GoBack"/>
      <w:bookmarkEnd w:id="0"/>
      <w:r>
        <w:t xml:space="preserve">*to be updated. Old figures given as a guide.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3082"/>
        <w:gridCol w:w="3004"/>
      </w:tblGrid>
      <w:tr w:rsidR="002002A9" w:rsidTr="00FC6D00">
        <w:trPr>
          <w:trHeight w:val="215"/>
        </w:trPr>
        <w:tc>
          <w:tcPr>
            <w:tcW w:w="4318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Y4 Multiplication Check</w:t>
            </w:r>
          </w:p>
        </w:tc>
        <w:tc>
          <w:tcPr>
            <w:tcW w:w="3082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2023</w:t>
            </w:r>
          </w:p>
        </w:tc>
        <w:tc>
          <w:tcPr>
            <w:tcW w:w="3004" w:type="dxa"/>
            <w:shd w:val="clear" w:color="auto" w:fill="ACB9CA" w:themeFill="text2" w:themeFillTint="66"/>
          </w:tcPr>
          <w:p w:rsidR="002002A9" w:rsidRDefault="002002A9" w:rsidP="00FC6D00">
            <w:r w:rsidRPr="0067498D">
              <w:rPr>
                <w:b/>
              </w:rPr>
              <w:t>National average 2022</w:t>
            </w:r>
          </w:p>
        </w:tc>
      </w:tr>
      <w:tr w:rsidR="002002A9" w:rsidTr="00FC6D00">
        <w:trPr>
          <w:trHeight w:val="203"/>
        </w:trPr>
        <w:tc>
          <w:tcPr>
            <w:tcW w:w="4318" w:type="dxa"/>
          </w:tcPr>
          <w:p w:rsidR="002002A9" w:rsidRDefault="002002A9" w:rsidP="00FC6D00">
            <w:r>
              <w:t>Year % correct mark</w:t>
            </w:r>
          </w:p>
        </w:tc>
        <w:tc>
          <w:tcPr>
            <w:tcW w:w="3082" w:type="dxa"/>
          </w:tcPr>
          <w:p w:rsidR="002002A9" w:rsidRDefault="002002A9" w:rsidP="00FC6D00">
            <w:r>
              <w:t xml:space="preserve">24% scored 25 </w:t>
            </w:r>
          </w:p>
        </w:tc>
        <w:tc>
          <w:tcPr>
            <w:tcW w:w="3004" w:type="dxa"/>
          </w:tcPr>
          <w:p w:rsidR="002002A9" w:rsidRDefault="002002A9" w:rsidP="00FC6D00">
            <w:r>
              <w:t>27% nationally scored 25</w:t>
            </w:r>
          </w:p>
        </w:tc>
      </w:tr>
      <w:tr w:rsidR="002002A9" w:rsidTr="00FC6D00">
        <w:trPr>
          <w:trHeight w:val="203"/>
        </w:trPr>
        <w:tc>
          <w:tcPr>
            <w:tcW w:w="4318" w:type="dxa"/>
          </w:tcPr>
          <w:p w:rsidR="002002A9" w:rsidRDefault="002002A9" w:rsidP="00FC6D00">
            <w:r>
              <w:t>Average mark</w:t>
            </w:r>
          </w:p>
        </w:tc>
        <w:tc>
          <w:tcPr>
            <w:tcW w:w="3082" w:type="dxa"/>
          </w:tcPr>
          <w:p w:rsidR="002002A9" w:rsidRDefault="002002A9" w:rsidP="00FC6D00">
            <w:r>
              <w:t xml:space="preserve">19.6 </w:t>
            </w:r>
          </w:p>
        </w:tc>
        <w:tc>
          <w:tcPr>
            <w:tcW w:w="3004" w:type="dxa"/>
          </w:tcPr>
          <w:p w:rsidR="002002A9" w:rsidRDefault="002002A9" w:rsidP="00FC6D00">
            <w:r>
              <w:t>20.8</w:t>
            </w:r>
          </w:p>
        </w:tc>
      </w:tr>
    </w:tbl>
    <w:p w:rsidR="002002A9" w:rsidRDefault="002002A9" w:rsidP="002002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3049"/>
        <w:gridCol w:w="3030"/>
      </w:tblGrid>
      <w:tr w:rsidR="002002A9" w:rsidTr="002002A9">
        <w:trPr>
          <w:trHeight w:val="260"/>
        </w:trPr>
        <w:tc>
          <w:tcPr>
            <w:tcW w:w="4348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EYFS and Y1 phonics</w:t>
            </w:r>
          </w:p>
        </w:tc>
        <w:tc>
          <w:tcPr>
            <w:tcW w:w="3049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</w:p>
        </w:tc>
        <w:tc>
          <w:tcPr>
            <w:tcW w:w="3030" w:type="dxa"/>
            <w:shd w:val="clear" w:color="auto" w:fill="ACB9CA" w:themeFill="text2" w:themeFillTint="66"/>
          </w:tcPr>
          <w:p w:rsidR="002002A9" w:rsidRDefault="002002A9" w:rsidP="00FC6D00">
            <w:r w:rsidRPr="0067498D">
              <w:rPr>
                <w:b/>
              </w:rPr>
              <w:t>N</w:t>
            </w:r>
            <w:r>
              <w:rPr>
                <w:b/>
              </w:rPr>
              <w:t>ational average 2023</w:t>
            </w:r>
          </w:p>
        </w:tc>
      </w:tr>
      <w:tr w:rsidR="002002A9" w:rsidTr="002002A9">
        <w:trPr>
          <w:trHeight w:val="245"/>
        </w:trPr>
        <w:tc>
          <w:tcPr>
            <w:tcW w:w="4348" w:type="dxa"/>
          </w:tcPr>
          <w:p w:rsidR="002002A9" w:rsidRDefault="002002A9" w:rsidP="00FC6D00">
            <w:r>
              <w:t>Year 1 Phonics Expected standard</w:t>
            </w:r>
          </w:p>
        </w:tc>
        <w:tc>
          <w:tcPr>
            <w:tcW w:w="3049" w:type="dxa"/>
          </w:tcPr>
          <w:p w:rsidR="002002A9" w:rsidRDefault="002002A9" w:rsidP="00FC6D00">
            <w:r>
              <w:t xml:space="preserve">78% </w:t>
            </w:r>
          </w:p>
        </w:tc>
        <w:tc>
          <w:tcPr>
            <w:tcW w:w="3030" w:type="dxa"/>
          </w:tcPr>
          <w:p w:rsidR="002002A9" w:rsidRDefault="002002A9" w:rsidP="00FC6D00">
            <w:r>
              <w:t>79%</w:t>
            </w:r>
          </w:p>
        </w:tc>
      </w:tr>
      <w:tr w:rsidR="002002A9" w:rsidTr="002002A9">
        <w:trPr>
          <w:trHeight w:val="245"/>
        </w:trPr>
        <w:tc>
          <w:tcPr>
            <w:tcW w:w="4348" w:type="dxa"/>
          </w:tcPr>
          <w:p w:rsidR="002002A9" w:rsidRDefault="002002A9" w:rsidP="00FC6D00">
            <w:r>
              <w:t>FS Good level of development</w:t>
            </w:r>
          </w:p>
        </w:tc>
        <w:tc>
          <w:tcPr>
            <w:tcW w:w="3049" w:type="dxa"/>
          </w:tcPr>
          <w:p w:rsidR="002002A9" w:rsidRDefault="002002A9" w:rsidP="00FC6D00">
            <w:r>
              <w:t>68%</w:t>
            </w:r>
          </w:p>
        </w:tc>
        <w:tc>
          <w:tcPr>
            <w:tcW w:w="3030" w:type="dxa"/>
          </w:tcPr>
          <w:p w:rsidR="002002A9" w:rsidRDefault="002002A9" w:rsidP="00FC6D00">
            <w:r>
              <w:t>67%</w:t>
            </w:r>
          </w:p>
        </w:tc>
      </w:tr>
    </w:tbl>
    <w:p w:rsidR="002A1292" w:rsidRDefault="002002A9"/>
    <w:sectPr w:rsidR="002A1292" w:rsidSect="0020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9"/>
    <w:rsid w:val="000B33DB"/>
    <w:rsid w:val="002002A9"/>
    <w:rsid w:val="005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6333"/>
  <w15:chartTrackingRefBased/>
  <w15:docId w15:val="{CDA6643C-6F44-4E31-A0EA-45662A1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sch8753526</cp:lastModifiedBy>
  <cp:revision>1</cp:revision>
  <dcterms:created xsi:type="dcterms:W3CDTF">2024-09-05T09:41:00Z</dcterms:created>
  <dcterms:modified xsi:type="dcterms:W3CDTF">2024-09-05T09:45:00Z</dcterms:modified>
</cp:coreProperties>
</file>